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40" w:after="240" w:line="500" w:lineRule="exact"/>
        <w:jc w:val="center"/>
        <w:textAlignment w:val="auto"/>
        <w:rPr>
          <w:rFonts w:hint="eastAsia" w:ascii="方正小标宋简体" w:eastAsia="方正小标宋简体"/>
          <w:spacing w:val="0"/>
          <w:sz w:val="44"/>
          <w:szCs w:val="44"/>
          <w:lang w:eastAsia="zh-CN"/>
        </w:rPr>
      </w:pPr>
      <w:r>
        <w:rPr>
          <w:rFonts w:hint="eastAsia" w:ascii="方正小标宋简体" w:hAnsi="黑体" w:eastAsia="方正小标宋简体"/>
          <w:spacing w:val="0"/>
          <w:sz w:val="44"/>
          <w:szCs w:val="44"/>
          <w:lang w:val="en-US" w:eastAsia="zh-CN"/>
        </w:rPr>
        <w:t>济源示范区残联</w:t>
      </w:r>
      <w:r>
        <w:rPr>
          <w:rFonts w:hint="eastAsia" w:ascii="方正小标宋简体" w:eastAsia="方正小标宋简体"/>
          <w:spacing w:val="0"/>
          <w:sz w:val="44"/>
          <w:szCs w:val="44"/>
        </w:rPr>
        <w:t>行政相对人违法风险点及防控措施</w:t>
      </w:r>
      <w:r>
        <w:rPr>
          <w:rFonts w:hint="eastAsia" w:ascii="方正小标宋简体" w:eastAsia="方正小标宋简体"/>
          <w:spacing w:val="0"/>
          <w:sz w:val="44"/>
          <w:szCs w:val="44"/>
          <w:lang w:eastAsia="zh-CN"/>
        </w:rPr>
        <w:t>清单</w:t>
      </w:r>
    </w:p>
    <w:tbl>
      <w:tblPr>
        <w:tblStyle w:val="2"/>
        <w:tblpPr w:leftFromText="180" w:rightFromText="180" w:vertAnchor="text" w:tblpXSpec="center" w:tblpY="1"/>
        <w:tblOverlap w:val="never"/>
        <w:tblW w:w="13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4" w:type="dxa"/>
          <w:bottom w:w="0" w:type="dxa"/>
          <w:right w:w="34" w:type="dxa"/>
        </w:tblCellMar>
      </w:tblPr>
      <w:tblGrid>
        <w:gridCol w:w="826"/>
        <w:gridCol w:w="1931"/>
        <w:gridCol w:w="2619"/>
        <w:gridCol w:w="1377"/>
        <w:gridCol w:w="2125"/>
        <w:gridCol w:w="1626"/>
        <w:gridCol w:w="1929"/>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409" w:hRule="atLeast"/>
          <w:jc w:val="center"/>
        </w:trPr>
        <w:tc>
          <w:tcPr>
            <w:tcW w:w="826" w:type="dxa"/>
            <w:vAlign w:val="center"/>
          </w:tcPr>
          <w:p>
            <w:pPr>
              <w:spacing w:line="400" w:lineRule="exact"/>
              <w:jc w:val="center"/>
              <w:rPr>
                <w:rFonts w:ascii="黑体" w:hAnsi="黑体" w:eastAsia="黑体"/>
                <w:spacing w:val="0"/>
                <w:sz w:val="28"/>
                <w:szCs w:val="28"/>
              </w:rPr>
            </w:pPr>
            <w:r>
              <w:rPr>
                <w:rFonts w:hint="eastAsia" w:ascii="黑体" w:hAnsi="黑体" w:eastAsia="黑体"/>
                <w:spacing w:val="0"/>
                <w:sz w:val="28"/>
                <w:szCs w:val="28"/>
              </w:rPr>
              <w:t>序号</w:t>
            </w:r>
          </w:p>
        </w:tc>
        <w:tc>
          <w:tcPr>
            <w:tcW w:w="1931" w:type="dxa"/>
            <w:vAlign w:val="center"/>
          </w:tcPr>
          <w:p>
            <w:pPr>
              <w:spacing w:line="400" w:lineRule="exact"/>
              <w:jc w:val="center"/>
              <w:rPr>
                <w:rFonts w:ascii="黑体" w:hAnsi="黑体" w:eastAsia="黑体"/>
                <w:spacing w:val="0"/>
                <w:sz w:val="28"/>
                <w:szCs w:val="28"/>
              </w:rPr>
            </w:pPr>
            <w:r>
              <w:rPr>
                <w:rFonts w:hint="eastAsia" w:ascii="黑体" w:hAnsi="黑体" w:eastAsia="黑体"/>
                <w:spacing w:val="0"/>
                <w:sz w:val="28"/>
                <w:szCs w:val="28"/>
              </w:rPr>
              <w:t>行政相对人</w:t>
            </w:r>
          </w:p>
        </w:tc>
        <w:tc>
          <w:tcPr>
            <w:tcW w:w="2619" w:type="dxa"/>
            <w:vAlign w:val="center"/>
          </w:tcPr>
          <w:p>
            <w:pPr>
              <w:spacing w:line="400" w:lineRule="exact"/>
              <w:jc w:val="center"/>
              <w:rPr>
                <w:rFonts w:ascii="黑体" w:hAnsi="黑体" w:eastAsia="黑体"/>
                <w:spacing w:val="0"/>
                <w:sz w:val="28"/>
                <w:szCs w:val="28"/>
              </w:rPr>
            </w:pPr>
            <w:r>
              <w:rPr>
                <w:rFonts w:hint="eastAsia" w:ascii="黑体" w:hAnsi="黑体" w:eastAsia="黑体"/>
                <w:spacing w:val="0"/>
                <w:sz w:val="28"/>
                <w:szCs w:val="28"/>
              </w:rPr>
              <w:t>违法风险点</w:t>
            </w:r>
          </w:p>
        </w:tc>
        <w:tc>
          <w:tcPr>
            <w:tcW w:w="1377" w:type="dxa"/>
            <w:vAlign w:val="center"/>
          </w:tcPr>
          <w:p>
            <w:pPr>
              <w:spacing w:line="400" w:lineRule="exact"/>
              <w:jc w:val="center"/>
              <w:rPr>
                <w:rFonts w:ascii="黑体" w:hAnsi="黑体" w:eastAsia="黑体"/>
                <w:spacing w:val="0"/>
                <w:sz w:val="28"/>
                <w:szCs w:val="28"/>
              </w:rPr>
            </w:pPr>
            <w:r>
              <w:rPr>
                <w:rFonts w:hint="eastAsia" w:ascii="黑体" w:hAnsi="黑体" w:eastAsia="黑体"/>
                <w:spacing w:val="0"/>
                <w:sz w:val="28"/>
                <w:szCs w:val="28"/>
              </w:rPr>
              <w:t>风险等级</w:t>
            </w:r>
          </w:p>
        </w:tc>
        <w:tc>
          <w:tcPr>
            <w:tcW w:w="2125" w:type="dxa"/>
            <w:vAlign w:val="top"/>
          </w:tcPr>
          <w:p>
            <w:pPr>
              <w:spacing w:line="400" w:lineRule="exact"/>
              <w:jc w:val="center"/>
              <w:rPr>
                <w:rFonts w:hint="eastAsia" w:ascii="黑体" w:hAnsi="黑体" w:eastAsia="黑体"/>
                <w:spacing w:val="0"/>
                <w:sz w:val="28"/>
                <w:szCs w:val="28"/>
                <w:lang w:eastAsia="zh-CN"/>
              </w:rPr>
            </w:pPr>
            <w:r>
              <w:rPr>
                <w:rFonts w:hint="eastAsia" w:ascii="黑体" w:hAnsi="黑体" w:eastAsia="黑体"/>
                <w:spacing w:val="0"/>
                <w:sz w:val="28"/>
                <w:szCs w:val="28"/>
                <w:lang w:eastAsia="zh-CN"/>
              </w:rPr>
              <w:t>法律依据</w:t>
            </w:r>
          </w:p>
        </w:tc>
        <w:tc>
          <w:tcPr>
            <w:tcW w:w="1626" w:type="dxa"/>
            <w:vAlign w:val="center"/>
          </w:tcPr>
          <w:p>
            <w:pPr>
              <w:spacing w:line="400" w:lineRule="exact"/>
              <w:jc w:val="center"/>
              <w:rPr>
                <w:rFonts w:hint="eastAsia" w:ascii="黑体" w:hAnsi="黑体" w:eastAsia="黑体"/>
                <w:spacing w:val="0"/>
                <w:sz w:val="28"/>
                <w:szCs w:val="28"/>
                <w:lang w:eastAsia="zh-CN"/>
              </w:rPr>
            </w:pPr>
            <w:r>
              <w:rPr>
                <w:rFonts w:hint="eastAsia" w:ascii="黑体" w:hAnsi="黑体" w:eastAsia="黑体"/>
                <w:spacing w:val="0"/>
                <w:sz w:val="28"/>
                <w:szCs w:val="28"/>
                <w:lang w:eastAsia="zh-CN"/>
              </w:rPr>
              <w:t>产生原因</w:t>
            </w:r>
          </w:p>
        </w:tc>
        <w:tc>
          <w:tcPr>
            <w:tcW w:w="1929" w:type="dxa"/>
            <w:vAlign w:val="center"/>
          </w:tcPr>
          <w:p>
            <w:pPr>
              <w:spacing w:line="400" w:lineRule="exact"/>
              <w:jc w:val="center"/>
              <w:rPr>
                <w:rFonts w:hint="eastAsia" w:ascii="黑体" w:hAnsi="黑体" w:eastAsia="黑体"/>
                <w:spacing w:val="0"/>
                <w:sz w:val="28"/>
                <w:szCs w:val="28"/>
                <w:lang w:eastAsia="zh-CN"/>
              </w:rPr>
            </w:pPr>
            <w:r>
              <w:rPr>
                <w:rFonts w:hint="eastAsia" w:ascii="黑体" w:hAnsi="黑体" w:eastAsia="黑体"/>
                <w:spacing w:val="0"/>
                <w:sz w:val="28"/>
                <w:szCs w:val="28"/>
                <w:lang w:eastAsia="zh-CN"/>
              </w:rPr>
              <w:t>防控措施</w:t>
            </w:r>
          </w:p>
        </w:tc>
        <w:tc>
          <w:tcPr>
            <w:tcW w:w="1546" w:type="dxa"/>
            <w:vAlign w:val="center"/>
          </w:tcPr>
          <w:p>
            <w:pPr>
              <w:spacing w:line="400" w:lineRule="exact"/>
              <w:jc w:val="center"/>
              <w:rPr>
                <w:rFonts w:hint="eastAsia" w:ascii="黑体" w:hAnsi="黑体" w:eastAsia="黑体"/>
                <w:spacing w:val="0"/>
                <w:sz w:val="28"/>
                <w:szCs w:val="28"/>
                <w:lang w:eastAsia="zh-CN"/>
              </w:rPr>
            </w:pPr>
            <w:r>
              <w:rPr>
                <w:rFonts w:hint="eastAsia" w:ascii="黑体" w:hAnsi="黑体" w:eastAsia="黑体"/>
                <w:spacing w:val="0"/>
                <w:sz w:val="28"/>
                <w:szCs w:val="28"/>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576" w:hRule="atLeast"/>
          <w:jc w:val="center"/>
        </w:trPr>
        <w:tc>
          <w:tcPr>
            <w:tcW w:w="826" w:type="dxa"/>
            <w:vAlign w:val="center"/>
          </w:tcPr>
          <w:p>
            <w:pPr>
              <w:spacing w:line="300" w:lineRule="exact"/>
              <w:jc w:val="center"/>
              <w:rPr>
                <w:rFonts w:hint="eastAsia"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1</w:t>
            </w:r>
          </w:p>
        </w:tc>
        <w:tc>
          <w:tcPr>
            <w:tcW w:w="1931" w:type="dxa"/>
            <w:vAlign w:val="center"/>
          </w:tcPr>
          <w:p>
            <w:pPr>
              <w:spacing w:line="300" w:lineRule="exact"/>
              <w:jc w:val="center"/>
              <w:rPr>
                <w:rFonts w:ascii="仿宋_GB2312" w:hAnsi="仿宋" w:eastAsia="仿宋_GB2312"/>
                <w:spacing w:val="0"/>
                <w:sz w:val="28"/>
                <w:szCs w:val="28"/>
              </w:rPr>
            </w:pPr>
            <w:r>
              <w:rPr>
                <w:rFonts w:hint="eastAsia" w:ascii="宋体" w:hAnsi="宋体" w:eastAsia="宋体" w:cs="宋体"/>
                <w:i w:val="0"/>
                <w:color w:val="000000"/>
                <w:kern w:val="0"/>
                <w:sz w:val="24"/>
                <w:szCs w:val="24"/>
                <w:u w:val="none"/>
                <w:lang w:val="en-US" w:eastAsia="zh-CN" w:bidi="ar"/>
              </w:rPr>
              <w:t>用人单位</w:t>
            </w:r>
          </w:p>
        </w:tc>
        <w:tc>
          <w:tcPr>
            <w:tcW w:w="2619" w:type="dxa"/>
            <w:vAlign w:val="center"/>
          </w:tcPr>
          <w:p>
            <w:pPr>
              <w:spacing w:line="300" w:lineRule="exact"/>
              <w:jc w:val="center"/>
              <w:rPr>
                <w:rFonts w:ascii="仿宋_GB2312" w:hAnsi="仿宋" w:eastAsia="仿宋_GB2312"/>
                <w:spacing w:val="0"/>
                <w:sz w:val="28"/>
                <w:szCs w:val="28"/>
              </w:rPr>
            </w:pPr>
            <w:r>
              <w:rPr>
                <w:rFonts w:hint="eastAsia" w:ascii="宋体" w:hAnsi="宋体" w:eastAsia="宋体" w:cs="宋体"/>
                <w:i w:val="0"/>
                <w:color w:val="000000"/>
                <w:kern w:val="0"/>
                <w:sz w:val="24"/>
                <w:szCs w:val="24"/>
                <w:u w:val="none"/>
                <w:lang w:val="en-US" w:eastAsia="zh-CN" w:bidi="ar"/>
              </w:rPr>
              <w:t>未在规定时限申报上年本单位安排的残疾人就业人数</w:t>
            </w:r>
          </w:p>
        </w:tc>
        <w:tc>
          <w:tcPr>
            <w:tcW w:w="1377" w:type="dxa"/>
            <w:vAlign w:val="center"/>
          </w:tcPr>
          <w:p>
            <w:pPr>
              <w:spacing w:line="300" w:lineRule="exact"/>
              <w:jc w:val="center"/>
              <w:rPr>
                <w:rFonts w:ascii="仿宋_GB2312" w:hAnsi="仿宋" w:eastAsia="仿宋_GB2312" w:cs="仿宋_GB2312"/>
                <w:spacing w:val="0"/>
                <w:sz w:val="28"/>
                <w:szCs w:val="28"/>
              </w:rPr>
            </w:pPr>
            <w:r>
              <w:rPr>
                <w:rFonts w:hint="eastAsia" w:ascii="宋体" w:hAnsi="宋体" w:eastAsia="宋体" w:cs="宋体"/>
                <w:i w:val="0"/>
                <w:color w:val="000000"/>
                <w:kern w:val="0"/>
                <w:sz w:val="24"/>
                <w:szCs w:val="24"/>
                <w:u w:val="none"/>
                <w:lang w:val="en-US" w:eastAsia="zh-CN" w:bidi="ar"/>
              </w:rPr>
              <w:t>低</w:t>
            </w:r>
          </w:p>
        </w:tc>
        <w:tc>
          <w:tcPr>
            <w:tcW w:w="2125" w:type="dxa"/>
            <w:vAlign w:val="center"/>
          </w:tcPr>
          <w:p>
            <w:pPr>
              <w:spacing w:line="300" w:lineRule="exact"/>
              <w:jc w:val="center"/>
              <w:rPr>
                <w:rFonts w:ascii="仿宋_GB2312" w:hAnsi="仿宋" w:eastAsia="仿宋_GB2312"/>
                <w:spacing w:val="0"/>
                <w:sz w:val="28"/>
                <w:szCs w:val="28"/>
              </w:rPr>
            </w:pPr>
            <w:r>
              <w:rPr>
                <w:rFonts w:hint="eastAsia" w:ascii="宋体" w:hAnsi="宋体" w:eastAsia="宋体" w:cs="宋体"/>
                <w:i w:val="0"/>
                <w:color w:val="000000"/>
                <w:kern w:val="0"/>
                <w:sz w:val="24"/>
                <w:szCs w:val="24"/>
                <w:u w:val="none"/>
                <w:lang w:val="en-US" w:eastAsia="zh-CN" w:bidi="ar"/>
              </w:rPr>
              <w:t>《残疾人就业保障金征收使用管理办法》</w:t>
            </w:r>
            <w:r>
              <w:rPr>
                <w:rFonts w:hint="eastAsia" w:ascii="宋体" w:hAnsi="宋体" w:cs="宋体"/>
                <w:i w:val="0"/>
                <w:color w:val="000000"/>
                <w:kern w:val="0"/>
                <w:sz w:val="24"/>
                <w:szCs w:val="24"/>
                <w:u w:val="none"/>
                <w:lang w:val="en-US" w:eastAsia="zh-CN" w:bidi="ar"/>
              </w:rPr>
              <w:t xml:space="preserve">（财税[2015]72号） </w:t>
            </w:r>
            <w:r>
              <w:rPr>
                <w:rFonts w:hint="eastAsia" w:ascii="宋体" w:hAnsi="宋体" w:eastAsia="宋体" w:cs="宋体"/>
                <w:i w:val="0"/>
                <w:color w:val="000000"/>
                <w:kern w:val="0"/>
                <w:sz w:val="24"/>
                <w:szCs w:val="24"/>
                <w:u w:val="none"/>
                <w:lang w:val="en-US" w:eastAsia="zh-CN" w:bidi="ar"/>
              </w:rPr>
              <w:t>第十二条</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 xml:space="preserve"> 用人单位应按规定时限如实向残疾人就业服务机构申报上年本单位安排的残疾人就业人数。未在规定时限申报的，视为未安排残疾人就业。</w:t>
            </w:r>
          </w:p>
        </w:tc>
        <w:tc>
          <w:tcPr>
            <w:tcW w:w="1626" w:type="dxa"/>
            <w:vAlign w:val="center"/>
          </w:tcPr>
          <w:p>
            <w:pPr>
              <w:spacing w:line="300" w:lineRule="exact"/>
              <w:jc w:val="left"/>
              <w:rPr>
                <w:rFonts w:ascii="仿宋_GB2312" w:hAnsi="仿宋" w:eastAsia="仿宋_GB2312"/>
                <w:spacing w:val="0"/>
                <w:sz w:val="28"/>
                <w:szCs w:val="28"/>
              </w:rPr>
            </w:pPr>
            <w:r>
              <w:rPr>
                <w:rFonts w:hint="eastAsia" w:ascii="宋体" w:hAnsi="宋体" w:eastAsia="宋体" w:cs="宋体"/>
                <w:i w:val="0"/>
                <w:color w:val="000000"/>
                <w:kern w:val="0"/>
                <w:sz w:val="24"/>
                <w:szCs w:val="24"/>
                <w:u w:val="none"/>
                <w:lang w:val="en-US" w:eastAsia="zh-CN" w:bidi="ar"/>
              </w:rPr>
              <w:t>未在规定时限申报</w:t>
            </w:r>
          </w:p>
        </w:tc>
        <w:tc>
          <w:tcPr>
            <w:tcW w:w="1929" w:type="dxa"/>
            <w:vAlign w:val="center"/>
          </w:tcPr>
          <w:p>
            <w:pPr>
              <w:spacing w:line="300" w:lineRule="exact"/>
              <w:jc w:val="left"/>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一是公告。在济源日报、济源之窗、残联官网、残联微信公众号等多渠道向行政相对人发布审核公告，告知年度具体审核事宜，使用人单位广泛知晓，深入了解政策；</w:t>
            </w:r>
          </w:p>
          <w:p>
            <w:pPr>
              <w:spacing w:line="300" w:lineRule="exact"/>
              <w:jc w:val="left"/>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二是提示。</w:t>
            </w:r>
            <w:r>
              <w:rPr>
                <w:rFonts w:hint="eastAsia" w:ascii="宋体" w:hAnsi="宋体" w:eastAsia="宋体" w:cs="宋体"/>
                <w:i w:val="0"/>
                <w:color w:val="000000"/>
                <w:kern w:val="0"/>
                <w:sz w:val="24"/>
                <w:szCs w:val="24"/>
                <w:u w:val="none"/>
                <w:lang w:val="en-US" w:eastAsia="zh-CN" w:bidi="ar"/>
              </w:rPr>
              <w:t>审核过程中，通过电话通知的形式主动提醒往年参审的用人单位在本年度审核规定时限及时申报，最大限度地防控行政相对人违法风险。</w:t>
            </w:r>
          </w:p>
        </w:tc>
        <w:tc>
          <w:tcPr>
            <w:tcW w:w="1546" w:type="dxa"/>
            <w:vAlign w:val="center"/>
          </w:tcPr>
          <w:p>
            <w:pPr>
              <w:spacing w:line="300" w:lineRule="exact"/>
              <w:jc w:val="center"/>
              <w:rPr>
                <w:rFonts w:hint="eastAsia" w:ascii="宋体" w:hAnsi="宋体" w:eastAsia="宋体" w:cs="宋体"/>
                <w:i w:val="0"/>
                <w:color w:val="000000"/>
                <w:kern w:val="0"/>
                <w:sz w:val="24"/>
                <w:szCs w:val="24"/>
                <w:u w:val="none"/>
                <w:lang w:val="en-US" w:eastAsia="zh-CN" w:bidi="ar"/>
              </w:rPr>
            </w:pPr>
            <w:bookmarkStart w:id="0" w:name="_GoBack"/>
            <w:r>
              <w:rPr>
                <w:rFonts w:hint="eastAsia" w:ascii="宋体" w:hAnsi="宋体" w:cs="宋体"/>
                <w:i w:val="0"/>
                <w:color w:val="000000"/>
                <w:kern w:val="0"/>
                <w:sz w:val="24"/>
                <w:szCs w:val="24"/>
                <w:u w:val="none"/>
                <w:lang w:val="en-US" w:eastAsia="zh-CN" w:bidi="ar"/>
              </w:rPr>
              <w:t>残疾人</w:t>
            </w:r>
            <w:r>
              <w:rPr>
                <w:rFonts w:hint="eastAsia" w:ascii="宋体" w:hAnsi="宋体" w:eastAsia="宋体" w:cs="宋体"/>
                <w:i w:val="0"/>
                <w:color w:val="000000"/>
                <w:kern w:val="0"/>
                <w:sz w:val="24"/>
                <w:szCs w:val="24"/>
                <w:u w:val="none"/>
                <w:lang w:val="en-US" w:eastAsia="zh-CN" w:bidi="ar"/>
              </w:rPr>
              <w:t>就业</w:t>
            </w:r>
          </w:p>
          <w:p>
            <w:pPr>
              <w:spacing w:line="300" w:lineRule="exact"/>
              <w:jc w:val="center"/>
              <w:rPr>
                <w:rFonts w:ascii="仿宋_GB2312" w:hAnsi="仿宋" w:eastAsia="仿宋_GB2312"/>
                <w:spacing w:val="0"/>
                <w:sz w:val="28"/>
                <w:szCs w:val="28"/>
              </w:rPr>
            </w:pPr>
            <w:r>
              <w:rPr>
                <w:rFonts w:hint="eastAsia" w:ascii="宋体" w:hAnsi="宋体" w:eastAsia="宋体" w:cs="宋体"/>
                <w:i w:val="0"/>
                <w:color w:val="000000"/>
                <w:kern w:val="0"/>
                <w:sz w:val="24"/>
                <w:szCs w:val="24"/>
                <w:u w:val="none"/>
                <w:lang w:val="en-US" w:eastAsia="zh-CN" w:bidi="ar"/>
              </w:rPr>
              <w:t>服务中心</w:t>
            </w:r>
            <w:bookmarkEnd w:id="0"/>
          </w:p>
        </w:tc>
      </w:tr>
    </w:tbl>
    <w:p>
      <w:pPr>
        <w:rPr>
          <w:rFonts w:ascii="仿宋_GB2312" w:hAnsi="仿宋_GB2312" w:eastAsia="仿宋_GB2312" w:cs="仿宋_GB2312"/>
          <w:spacing w:val="0"/>
          <w:sz w:val="32"/>
          <w:szCs w:val="32"/>
        </w:rPr>
        <w:sectPr>
          <w:pgSz w:w="16838" w:h="11906" w:orient="landscape"/>
          <w:pgMar w:top="1587" w:right="1417" w:bottom="1417" w:left="1417" w:header="851" w:footer="1304" w:gutter="0"/>
          <w:pgNumType w:fmt="decimal"/>
          <w:cols w:space="720" w:num="1"/>
          <w:rtlGutter w:val="0"/>
          <w:docGrid w:type="linesAndChars" w:linePitch="494"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16106"/>
    <w:rsid w:val="0D976E5A"/>
    <w:rsid w:val="0F5A7DC0"/>
    <w:rsid w:val="17D15EA0"/>
    <w:rsid w:val="24A52D66"/>
    <w:rsid w:val="2B616106"/>
    <w:rsid w:val="38BA649F"/>
    <w:rsid w:val="3EBDE891"/>
    <w:rsid w:val="42FB4E6F"/>
    <w:rsid w:val="53CA52F0"/>
    <w:rsid w:val="633F4960"/>
    <w:rsid w:val="DEF3AC91"/>
    <w:rsid w:val="EBDF5C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36"/>
      <w:szCs w:val="36"/>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2021-09-09T08:29:00Z</dcterms:created>
  <dc:creator>ZZZZZZZZZZ</dc:creator>
  <cp:lastModifiedBy>greatwall</cp:lastModifiedBy>
  <dcterms:modified xsi:type="dcterms:W3CDTF">2021-09-23T16:25:41Z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925F7057573040508DA2DB5CDAED2EA3</vt:lpwstr>
  </property>
</Properties>
</file>